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7" w:rsidRPr="00942AB2" w:rsidRDefault="00AE2CC7" w:rsidP="00AE2CC7">
      <w:pPr>
        <w:jc w:val="center"/>
        <w:rPr>
          <w:rFonts w:ascii="Arial" w:hAnsi="Arial" w:cs="Arial"/>
        </w:rPr>
      </w:pPr>
      <w:bookmarkStart w:id="0" w:name="_GoBack"/>
      <w:bookmarkEnd w:id="0"/>
      <w:r w:rsidRPr="00942AB2">
        <w:rPr>
          <w:rFonts w:ascii="Arial" w:hAnsi="Arial" w:cs="Arial"/>
          <w:b/>
          <w:bCs/>
          <w:noProof/>
        </w:rPr>
        <w:drawing>
          <wp:inline distT="0" distB="0" distL="0" distR="0" wp14:anchorId="288804F3" wp14:editId="0532A384">
            <wp:extent cx="1148080" cy="1097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C7" w:rsidRPr="00942AB2" w:rsidRDefault="00942AB2" w:rsidP="00AE2CC7">
      <w:pPr>
        <w:jc w:val="center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 xml:space="preserve">THE </w:t>
      </w:r>
      <w:r w:rsidR="00AE2CC7" w:rsidRPr="00942AB2">
        <w:rPr>
          <w:rFonts w:ascii="Arial" w:hAnsi="Arial" w:cs="Arial"/>
          <w:b/>
        </w:rPr>
        <w:t>34</w:t>
      </w:r>
      <w:r w:rsidR="00AE2CC7" w:rsidRPr="00942AB2">
        <w:rPr>
          <w:rFonts w:ascii="Arial" w:hAnsi="Arial" w:cs="Arial"/>
          <w:b/>
          <w:vertAlign w:val="superscript"/>
        </w:rPr>
        <w:t xml:space="preserve">th </w:t>
      </w:r>
      <w:r w:rsidR="00AE2CC7" w:rsidRPr="00942AB2">
        <w:rPr>
          <w:rFonts w:ascii="Arial" w:hAnsi="Arial" w:cs="Arial"/>
          <w:b/>
        </w:rPr>
        <w:t>GENERAL ASSEMBLY</w:t>
      </w:r>
    </w:p>
    <w:p w:rsidR="00AE2CC7" w:rsidRPr="00942AB2" w:rsidRDefault="00AE2CC7" w:rsidP="00AE2CC7">
      <w:pPr>
        <w:jc w:val="center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>ASEAN INTER-PARLIAMENTARY ASSEMBLY</w:t>
      </w:r>
    </w:p>
    <w:p w:rsidR="00AE2CC7" w:rsidRPr="00942AB2" w:rsidRDefault="00AE2CC7" w:rsidP="00AE2CC7">
      <w:pPr>
        <w:jc w:val="center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>BANDAR SERI BEGAWAN, BRUNEI DARUSSALAM</w:t>
      </w:r>
    </w:p>
    <w:p w:rsidR="00AE2CC7" w:rsidRPr="00942AB2" w:rsidRDefault="00AE2CC7" w:rsidP="00AE2CC7">
      <w:pPr>
        <w:jc w:val="center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>17</w:t>
      </w:r>
      <w:r w:rsidRPr="00942AB2">
        <w:rPr>
          <w:rFonts w:ascii="Arial" w:hAnsi="Arial" w:cs="Arial"/>
          <w:b/>
          <w:vertAlign w:val="superscript"/>
        </w:rPr>
        <w:t xml:space="preserve">th </w:t>
      </w:r>
      <w:r w:rsidRPr="00942AB2">
        <w:rPr>
          <w:rFonts w:ascii="Arial" w:hAnsi="Arial" w:cs="Arial"/>
          <w:b/>
        </w:rPr>
        <w:t>- 23</w:t>
      </w:r>
      <w:r w:rsidRPr="00942AB2">
        <w:rPr>
          <w:rFonts w:ascii="Arial" w:hAnsi="Arial" w:cs="Arial"/>
          <w:b/>
          <w:vertAlign w:val="superscript"/>
        </w:rPr>
        <w:t>rd</w:t>
      </w:r>
      <w:r w:rsidRPr="00942AB2">
        <w:rPr>
          <w:rFonts w:ascii="Arial" w:hAnsi="Arial" w:cs="Arial"/>
          <w:b/>
        </w:rPr>
        <w:t xml:space="preserve"> SEPTEMBER 2013</w:t>
      </w:r>
    </w:p>
    <w:p w:rsidR="00AE2CC7" w:rsidRPr="00942AB2" w:rsidRDefault="00AE2CC7" w:rsidP="00AE2CC7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AE2CC7" w:rsidRPr="00942AB2" w:rsidRDefault="00942AB2" w:rsidP="00AE2CC7">
      <w:pPr>
        <w:jc w:val="right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>RES.</w:t>
      </w:r>
      <w:r w:rsidR="00AE2CC7" w:rsidRPr="00942AB2">
        <w:rPr>
          <w:rFonts w:ascii="Arial" w:hAnsi="Arial" w:cs="Arial"/>
          <w:b/>
        </w:rPr>
        <w:t>34GA/2013/POL/01</w:t>
      </w:r>
    </w:p>
    <w:p w:rsidR="00942AB2" w:rsidRPr="00942AB2" w:rsidRDefault="00942AB2" w:rsidP="00942AB2">
      <w:pPr>
        <w:rPr>
          <w:rFonts w:ascii="Arial" w:hAnsi="Arial" w:cs="Arial"/>
        </w:rPr>
      </w:pPr>
    </w:p>
    <w:p w:rsidR="00363D84" w:rsidRDefault="00AE2CC7" w:rsidP="00363D84">
      <w:pPr>
        <w:jc w:val="center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>RESOLUTION ON</w:t>
      </w:r>
      <w:r w:rsidR="00942AB2" w:rsidRPr="00942AB2">
        <w:rPr>
          <w:rFonts w:ascii="Arial" w:hAnsi="Arial" w:cs="Arial"/>
          <w:b/>
        </w:rPr>
        <w:t xml:space="preserve"> </w:t>
      </w:r>
    </w:p>
    <w:p w:rsidR="00AE2CC7" w:rsidRPr="00942AB2" w:rsidRDefault="00AE2CC7" w:rsidP="00363D84">
      <w:pPr>
        <w:jc w:val="center"/>
        <w:rPr>
          <w:rFonts w:ascii="Arial" w:hAnsi="Arial" w:cs="Arial"/>
          <w:b/>
        </w:rPr>
      </w:pPr>
      <w:r w:rsidRPr="00942AB2">
        <w:rPr>
          <w:rFonts w:ascii="Arial" w:hAnsi="Arial" w:cs="Arial"/>
          <w:b/>
        </w:rPr>
        <w:t>SUPPORTI</w:t>
      </w:r>
      <w:r w:rsidR="00942AB2" w:rsidRPr="00942AB2">
        <w:rPr>
          <w:rFonts w:ascii="Arial" w:hAnsi="Arial" w:cs="Arial"/>
          <w:b/>
        </w:rPr>
        <w:t xml:space="preserve">NG THE ASEAN POLITICAL SECURITY </w:t>
      </w:r>
      <w:r w:rsidRPr="00942AB2">
        <w:rPr>
          <w:rFonts w:ascii="Arial" w:hAnsi="Arial" w:cs="Arial"/>
          <w:b/>
        </w:rPr>
        <w:t>COMMUNITY</w:t>
      </w:r>
    </w:p>
    <w:p w:rsidR="00D03B9B" w:rsidRPr="00942AB2" w:rsidRDefault="00D03B9B" w:rsidP="00D03B9B">
      <w:pPr>
        <w:spacing w:line="360" w:lineRule="auto"/>
        <w:jc w:val="center"/>
        <w:rPr>
          <w:rFonts w:ascii="Arial" w:hAnsi="Arial" w:cs="Arial"/>
          <w:b/>
        </w:rPr>
      </w:pPr>
    </w:p>
    <w:p w:rsidR="00AE2CC7" w:rsidRPr="00942AB2" w:rsidRDefault="00AE2CC7" w:rsidP="00AE2CC7">
      <w:pPr>
        <w:spacing w:line="276" w:lineRule="auto"/>
        <w:jc w:val="both"/>
        <w:rPr>
          <w:rFonts w:ascii="Arial" w:hAnsi="Arial" w:cs="Arial"/>
          <w:b/>
          <w:i/>
        </w:rPr>
      </w:pPr>
      <w:r w:rsidRPr="00942AB2">
        <w:rPr>
          <w:rFonts w:ascii="Arial" w:hAnsi="Arial" w:cs="Arial"/>
          <w:b/>
          <w:i/>
        </w:rPr>
        <w:t>The Thirty-Fourth AIPA General Assembly:</w:t>
      </w: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FB6D0C" w:rsidRPr="00942AB2" w:rsidRDefault="00FB6D0C" w:rsidP="00E86A7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Taking note</w:t>
      </w:r>
      <w:r w:rsidRPr="00942AB2">
        <w:rPr>
          <w:rFonts w:ascii="Arial" w:hAnsi="Arial" w:cs="Arial"/>
        </w:rPr>
        <w:t xml:space="preserve"> of Brunei Darussalam’s theme for its Chairmanship in 2013: “Our People, Our Future Together”, particularly emphasising the role of the people in ASEAN’s community building efforts and the future of ASEAN beyond 2015;</w:t>
      </w:r>
    </w:p>
    <w:p w:rsidR="00FB6D0C" w:rsidRPr="00942AB2" w:rsidRDefault="00FB6D0C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Recognising</w:t>
      </w:r>
      <w:r w:rsidRPr="00942AB2">
        <w:rPr>
          <w:rFonts w:ascii="Arial" w:hAnsi="Arial" w:cs="Arial"/>
          <w:i/>
        </w:rPr>
        <w:t xml:space="preserve"> </w:t>
      </w:r>
      <w:r w:rsidRPr="00942AB2">
        <w:rPr>
          <w:rFonts w:ascii="Arial" w:hAnsi="Arial" w:cs="Arial"/>
        </w:rPr>
        <w:t>that the process of community building requires the engagement of our people in ASEAN’s efforts as well as their awareness of how they benefit from ASEAN’s work;</w:t>
      </w:r>
    </w:p>
    <w:p w:rsidR="00BD6379" w:rsidRPr="00942AB2" w:rsidRDefault="00BD6379" w:rsidP="00E86A73">
      <w:pPr>
        <w:spacing w:line="276" w:lineRule="auto"/>
        <w:rPr>
          <w:rFonts w:ascii="Arial" w:hAnsi="Arial" w:cs="Arial"/>
        </w:rPr>
      </w:pPr>
      <w:r w:rsidRPr="00942AB2">
        <w:rPr>
          <w:rFonts w:ascii="Arial" w:hAnsi="Arial" w:cs="Arial"/>
        </w:rPr>
        <w:br/>
      </w:r>
      <w:r w:rsidRPr="00942AB2">
        <w:rPr>
          <w:rFonts w:ascii="Arial" w:hAnsi="Arial" w:cs="Arial"/>
          <w:b/>
          <w:i/>
        </w:rPr>
        <w:t>Taking note</w:t>
      </w:r>
      <w:r w:rsidRPr="00942AB2">
        <w:rPr>
          <w:rFonts w:ascii="Arial" w:hAnsi="Arial" w:cs="Arial"/>
        </w:rPr>
        <w:t xml:space="preserve"> of the continued commitment of our ASEAN Leaders to ensuring the peace, stability and security for sustainable development and prosperity of our region;</w:t>
      </w:r>
    </w:p>
    <w:p w:rsidR="00994ECE" w:rsidRPr="00942AB2" w:rsidRDefault="00994ECE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994ECE" w:rsidRPr="00942AB2" w:rsidRDefault="00994ECE" w:rsidP="00994E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 xml:space="preserve">Acknowledging </w:t>
      </w:r>
      <w:r w:rsidRPr="00942AB2">
        <w:rPr>
          <w:rFonts w:ascii="Arial" w:hAnsi="Arial" w:cs="Arial"/>
        </w:rPr>
        <w:t>the progress and achievements made in the implementation of the ASEAN Political-Security Community (APSC) Blueprint and the need to continue ASEAN’s work in implementing its ASEAN Community commitments by 2015;</w:t>
      </w:r>
    </w:p>
    <w:p w:rsidR="00994ECE" w:rsidRPr="00942AB2" w:rsidRDefault="00994ECE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AE2CC7" w:rsidRPr="00942AB2" w:rsidRDefault="00994ECE" w:rsidP="00E86A7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 xml:space="preserve">Mindful </w:t>
      </w:r>
      <w:r w:rsidRPr="00942AB2">
        <w:rPr>
          <w:rFonts w:ascii="Arial" w:hAnsi="Arial" w:cs="Arial"/>
        </w:rPr>
        <w:t>of the ASEAN Charter and a</w:t>
      </w:r>
      <w:r w:rsidR="00AE2CC7" w:rsidRPr="00942AB2">
        <w:rPr>
          <w:rFonts w:ascii="Arial" w:hAnsi="Arial" w:cs="Arial"/>
        </w:rPr>
        <w:t>cknowledging</w:t>
      </w:r>
      <w:r w:rsidR="00AE2CC7" w:rsidRPr="00942AB2">
        <w:rPr>
          <w:rFonts w:ascii="Arial" w:hAnsi="Arial" w:cs="Arial"/>
          <w:b/>
          <w:i/>
        </w:rPr>
        <w:t xml:space="preserve"> </w:t>
      </w:r>
      <w:r w:rsidR="00AE2CC7" w:rsidRPr="00942AB2">
        <w:rPr>
          <w:rFonts w:ascii="Arial" w:hAnsi="Arial" w:cs="Arial"/>
        </w:rPr>
        <w:t>the progress and achievements made in the implementation of the ASEAN Political-Security Community (APSC) Blueprint and the need to continue ASEAN’s work in implementing its ASEAN Community commitments by 2015;</w:t>
      </w: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Taking note</w:t>
      </w:r>
      <w:r w:rsidRPr="00942AB2">
        <w:rPr>
          <w:rFonts w:ascii="Arial" w:hAnsi="Arial" w:cs="Arial"/>
          <w:i/>
        </w:rPr>
        <w:t xml:space="preserve"> </w:t>
      </w:r>
      <w:r w:rsidRPr="00942AB2">
        <w:rPr>
          <w:rFonts w:ascii="Arial" w:hAnsi="Arial" w:cs="Arial"/>
        </w:rPr>
        <w:t xml:space="preserve">of the important role of parliamentarians in acting as a link between the government and its people; </w:t>
      </w:r>
    </w:p>
    <w:p w:rsidR="00BD6379" w:rsidRPr="00942AB2" w:rsidRDefault="00BD6379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251C45" w:rsidRPr="00942AB2" w:rsidRDefault="00BD6379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942AB2">
        <w:rPr>
          <w:rFonts w:ascii="Arial" w:hAnsi="Arial" w:cs="Arial"/>
          <w:b/>
          <w:i/>
        </w:rPr>
        <w:t>Recognizing</w:t>
      </w:r>
      <w:r w:rsidRPr="00942AB2">
        <w:rPr>
          <w:rFonts w:ascii="Arial" w:hAnsi="Arial" w:cs="Arial"/>
        </w:rPr>
        <w:t xml:space="preserve"> the importance of ASEAN parliamentarians working together </w:t>
      </w:r>
      <w:r w:rsidR="001B3815" w:rsidRPr="00942AB2">
        <w:rPr>
          <w:rFonts w:ascii="Arial" w:hAnsi="Arial" w:cs="Arial"/>
        </w:rPr>
        <w:t xml:space="preserve">to fulfil </w:t>
      </w:r>
      <w:r w:rsidRPr="00942AB2">
        <w:rPr>
          <w:rFonts w:ascii="Arial" w:hAnsi="Arial" w:cs="Arial"/>
        </w:rPr>
        <w:t xml:space="preserve">the ASEAN community building </w:t>
      </w:r>
      <w:r w:rsidR="00251C45" w:rsidRPr="00942AB2">
        <w:rPr>
          <w:rFonts w:ascii="Arial" w:hAnsi="Arial" w:cs="Arial"/>
        </w:rPr>
        <w:t xml:space="preserve">and vision </w:t>
      </w:r>
      <w:r w:rsidRPr="00942AB2">
        <w:rPr>
          <w:rFonts w:ascii="Arial" w:hAnsi="Arial" w:cs="Arial"/>
        </w:rPr>
        <w:t>by 2015</w:t>
      </w:r>
      <w:r w:rsidR="00251C45" w:rsidRPr="00942AB2">
        <w:rPr>
          <w:rFonts w:ascii="Arial" w:hAnsi="Arial" w:cs="Arial"/>
        </w:rPr>
        <w:t xml:space="preserve"> and beyond;</w:t>
      </w:r>
      <w:r w:rsidR="001B3815" w:rsidRPr="00942AB2">
        <w:rPr>
          <w:rFonts w:ascii="Arial" w:hAnsi="Arial" w:cs="Arial"/>
        </w:rPr>
        <w:t xml:space="preserve"> </w:t>
      </w:r>
    </w:p>
    <w:p w:rsidR="00942AB2" w:rsidRDefault="00942AB2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942AB2" w:rsidRDefault="00942AB2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942AB2">
        <w:rPr>
          <w:rFonts w:ascii="Arial" w:hAnsi="Arial" w:cs="Arial"/>
          <w:b/>
          <w:i/>
        </w:rPr>
        <w:t>Hereby resolves to:</w:t>
      </w:r>
      <w:r w:rsidRPr="00942AB2">
        <w:rPr>
          <w:rFonts w:ascii="Arial" w:hAnsi="Arial" w:cs="Arial"/>
          <w:i/>
        </w:rPr>
        <w:t xml:space="preserve"> </w:t>
      </w: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AE2CC7" w:rsidRPr="00942AB2" w:rsidRDefault="00E86A7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M</w:t>
      </w:r>
      <w:r w:rsidR="00AE2CC7" w:rsidRPr="00942AB2">
        <w:rPr>
          <w:rFonts w:ascii="Arial" w:hAnsi="Arial" w:cs="Arial"/>
          <w:b/>
          <w:i/>
        </w:rPr>
        <w:t xml:space="preserve">aximise </w:t>
      </w:r>
      <w:r w:rsidR="00994ECE" w:rsidRPr="00942AB2">
        <w:rPr>
          <w:rFonts w:ascii="Arial" w:hAnsi="Arial" w:cs="Arial"/>
          <w:b/>
          <w:i/>
        </w:rPr>
        <w:t>and strengthen</w:t>
      </w:r>
      <w:r w:rsidR="00AE2CC7" w:rsidRPr="00942AB2">
        <w:rPr>
          <w:rFonts w:ascii="Arial" w:hAnsi="Arial" w:cs="Arial"/>
        </w:rPr>
        <w:t xml:space="preserve"> </w:t>
      </w:r>
      <w:r w:rsidR="00994ECE" w:rsidRPr="00942AB2">
        <w:rPr>
          <w:rFonts w:ascii="Arial" w:hAnsi="Arial" w:cs="Arial"/>
        </w:rPr>
        <w:t xml:space="preserve">the </w:t>
      </w:r>
      <w:r w:rsidR="00AE2CC7" w:rsidRPr="00942AB2">
        <w:rPr>
          <w:rFonts w:ascii="Arial" w:hAnsi="Arial" w:cs="Arial"/>
        </w:rPr>
        <w:t>role</w:t>
      </w:r>
      <w:r w:rsidR="00994ECE" w:rsidRPr="00942AB2">
        <w:rPr>
          <w:rFonts w:ascii="Arial" w:hAnsi="Arial" w:cs="Arial"/>
        </w:rPr>
        <w:t xml:space="preserve"> of AIPA</w:t>
      </w:r>
      <w:r w:rsidR="00AE2CC7" w:rsidRPr="00942AB2">
        <w:rPr>
          <w:rFonts w:ascii="Arial" w:hAnsi="Arial" w:cs="Arial"/>
        </w:rPr>
        <w:t xml:space="preserve"> in supporting ASEAN Member States’ efforts towards realizing an ASEAN Political Security Community by 2015, and the vision of an enduring ASEAN Political Security Community beyond 2015; </w:t>
      </w:r>
    </w:p>
    <w:p w:rsidR="00D34E93" w:rsidRPr="00942AB2" w:rsidRDefault="00D34E9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</w:rPr>
      </w:pPr>
    </w:p>
    <w:p w:rsidR="00D34E93" w:rsidRPr="00942AB2" w:rsidRDefault="00E86A73" w:rsidP="00D34E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</w:rPr>
      </w:pPr>
      <w:r w:rsidRPr="00942AB2">
        <w:rPr>
          <w:rFonts w:ascii="Arial" w:hAnsi="Arial" w:cs="Arial"/>
          <w:b/>
          <w:i/>
        </w:rPr>
        <w:t xml:space="preserve">Urge </w:t>
      </w:r>
      <w:r w:rsidRPr="00942AB2">
        <w:rPr>
          <w:rFonts w:ascii="Arial" w:hAnsi="Arial" w:cs="Arial"/>
        </w:rPr>
        <w:t>AIPA M</w:t>
      </w:r>
      <w:r w:rsidR="00D34E93" w:rsidRPr="00942AB2">
        <w:rPr>
          <w:rFonts w:ascii="Arial" w:hAnsi="Arial" w:cs="Arial"/>
        </w:rPr>
        <w:t xml:space="preserve">ember </w:t>
      </w:r>
      <w:r w:rsidRPr="00942AB2">
        <w:rPr>
          <w:rFonts w:ascii="Arial" w:hAnsi="Arial" w:cs="Arial"/>
        </w:rPr>
        <w:t>Parliaments</w:t>
      </w:r>
      <w:r w:rsidRPr="00942AB2">
        <w:rPr>
          <w:rFonts w:ascii="Arial" w:hAnsi="Arial" w:cs="Arial"/>
          <w:b/>
        </w:rPr>
        <w:t xml:space="preserve"> </w:t>
      </w:r>
      <w:r w:rsidR="00D34E93" w:rsidRPr="00942AB2">
        <w:rPr>
          <w:rFonts w:ascii="Arial" w:hAnsi="Arial" w:cs="Arial"/>
        </w:rPr>
        <w:t>to work collectively in addressing</w:t>
      </w:r>
      <w:r w:rsidR="00D34E93" w:rsidRPr="00942AB2">
        <w:rPr>
          <w:rFonts w:ascii="Arial" w:hAnsi="Arial" w:cs="Arial"/>
          <w:b/>
        </w:rPr>
        <w:t xml:space="preserve"> </w:t>
      </w:r>
      <w:r w:rsidR="00D34E93" w:rsidRPr="00942AB2">
        <w:rPr>
          <w:rFonts w:ascii="Arial" w:hAnsi="Arial" w:cs="Arial"/>
        </w:rPr>
        <w:t xml:space="preserve">today’s security and non-security </w:t>
      </w:r>
      <w:r w:rsidR="000A73A7" w:rsidRPr="00942AB2">
        <w:rPr>
          <w:rFonts w:ascii="Arial" w:hAnsi="Arial" w:cs="Arial"/>
        </w:rPr>
        <w:t xml:space="preserve">challenges </w:t>
      </w:r>
      <w:r w:rsidR="00D34E93" w:rsidRPr="00942AB2">
        <w:rPr>
          <w:rFonts w:ascii="Arial" w:hAnsi="Arial" w:cs="Arial"/>
        </w:rPr>
        <w:t xml:space="preserve">that </w:t>
      </w:r>
      <w:r w:rsidR="00D03B9B" w:rsidRPr="00942AB2">
        <w:rPr>
          <w:rFonts w:ascii="Arial" w:hAnsi="Arial" w:cs="Arial"/>
        </w:rPr>
        <w:t xml:space="preserve">are broad and multi-dimensional;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E93" w:rsidRPr="00942AB2" w:rsidRDefault="00D34E9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</w:rPr>
      </w:pPr>
    </w:p>
    <w:p w:rsidR="00E9626D" w:rsidRPr="00942AB2" w:rsidRDefault="00E9626D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Fully support</w:t>
      </w:r>
      <w:r w:rsidRPr="00942AB2">
        <w:rPr>
          <w:rFonts w:ascii="Arial" w:hAnsi="Arial" w:cs="Arial"/>
        </w:rPr>
        <w:t xml:space="preserve"> the ASEAN commitment </w:t>
      </w:r>
      <w:r w:rsidR="00B9249C" w:rsidRPr="00942AB2">
        <w:rPr>
          <w:rFonts w:ascii="Arial" w:hAnsi="Arial" w:cs="Arial"/>
        </w:rPr>
        <w:t>in peaceful conflict resolution while</w:t>
      </w:r>
      <w:r w:rsidRPr="00942AB2">
        <w:rPr>
          <w:rFonts w:ascii="Arial" w:hAnsi="Arial" w:cs="Arial"/>
        </w:rPr>
        <w:t xml:space="preserve"> promoting and maintaining a </w:t>
      </w:r>
      <w:r w:rsidR="00B9249C" w:rsidRPr="00942AB2">
        <w:rPr>
          <w:rFonts w:ascii="Arial" w:hAnsi="Arial" w:cs="Arial"/>
        </w:rPr>
        <w:t xml:space="preserve">more secure, peaceful </w:t>
      </w:r>
      <w:r w:rsidRPr="00942AB2">
        <w:rPr>
          <w:rFonts w:ascii="Arial" w:hAnsi="Arial" w:cs="Arial"/>
        </w:rPr>
        <w:t>and stable region as our common desire and colle</w:t>
      </w:r>
      <w:r w:rsidR="00D03B9B" w:rsidRPr="00942AB2">
        <w:rPr>
          <w:rFonts w:ascii="Arial" w:hAnsi="Arial" w:cs="Arial"/>
        </w:rPr>
        <w:t>ctive will;</w:t>
      </w:r>
    </w:p>
    <w:p w:rsidR="00D34E93" w:rsidRPr="00942AB2" w:rsidRDefault="00D34E9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E2CC7" w:rsidRPr="00942AB2" w:rsidRDefault="00E86A7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C</w:t>
      </w:r>
      <w:r w:rsidR="00AE2CC7" w:rsidRPr="00942AB2">
        <w:rPr>
          <w:rFonts w:ascii="Arial" w:hAnsi="Arial" w:cs="Arial"/>
          <w:b/>
          <w:i/>
        </w:rPr>
        <w:t xml:space="preserve">ontinue </w:t>
      </w:r>
      <w:r w:rsidR="00AE2CC7" w:rsidRPr="00942AB2">
        <w:rPr>
          <w:rFonts w:ascii="Arial" w:hAnsi="Arial" w:cs="Arial"/>
        </w:rPr>
        <w:t xml:space="preserve">to play an active role in raising ASEAN </w:t>
      </w:r>
      <w:r w:rsidR="00665521" w:rsidRPr="00942AB2">
        <w:rPr>
          <w:rFonts w:ascii="Arial" w:hAnsi="Arial" w:cs="Arial"/>
        </w:rPr>
        <w:t xml:space="preserve">community </w:t>
      </w:r>
      <w:r w:rsidR="00AE2CC7" w:rsidRPr="00942AB2">
        <w:rPr>
          <w:rFonts w:ascii="Arial" w:hAnsi="Arial" w:cs="Arial"/>
        </w:rPr>
        <w:t>awareness at both the national and regional levels, particularly on the efforts made by ASEAN Member States to connect i</w:t>
      </w:r>
      <w:r w:rsidR="00665521" w:rsidRPr="00942AB2">
        <w:rPr>
          <w:rFonts w:ascii="Arial" w:hAnsi="Arial" w:cs="Arial"/>
        </w:rPr>
        <w:t xml:space="preserve">ts peoples beyond their borders, </w:t>
      </w:r>
      <w:r w:rsidR="00AE2CC7" w:rsidRPr="00942AB2">
        <w:rPr>
          <w:rFonts w:ascii="Arial" w:hAnsi="Arial" w:cs="Arial"/>
        </w:rPr>
        <w:t>and to deepen regional integration;</w:t>
      </w:r>
      <w:r w:rsidR="00D03B9B" w:rsidRPr="00942AB2">
        <w:rPr>
          <w:rFonts w:ascii="Arial" w:hAnsi="Arial" w:cs="Arial"/>
        </w:rPr>
        <w:t xml:space="preserve"> </w:t>
      </w: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:rsidR="00AE2CC7" w:rsidRPr="00942AB2" w:rsidRDefault="00E86A7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E</w:t>
      </w:r>
      <w:r w:rsidR="00AE2CC7" w:rsidRPr="00942AB2">
        <w:rPr>
          <w:rFonts w:ascii="Arial" w:hAnsi="Arial" w:cs="Arial"/>
          <w:b/>
          <w:i/>
        </w:rPr>
        <w:t>nhance</w:t>
      </w:r>
      <w:r w:rsidR="00AE2CC7" w:rsidRPr="00942AB2">
        <w:rPr>
          <w:rFonts w:ascii="Arial" w:hAnsi="Arial" w:cs="Arial"/>
          <w:b/>
        </w:rPr>
        <w:t xml:space="preserve"> </w:t>
      </w:r>
      <w:r w:rsidR="00AE2CC7" w:rsidRPr="00942AB2">
        <w:rPr>
          <w:rFonts w:ascii="Arial" w:hAnsi="Arial" w:cs="Arial"/>
        </w:rPr>
        <w:t>efforts towards realising</w:t>
      </w:r>
      <w:r w:rsidR="00AE2CC7" w:rsidRPr="00942AB2">
        <w:rPr>
          <w:rFonts w:ascii="Arial" w:hAnsi="Arial" w:cs="Arial"/>
          <w:i/>
        </w:rPr>
        <w:t xml:space="preserve"> </w:t>
      </w:r>
      <w:r w:rsidR="00AE2CC7" w:rsidRPr="00942AB2">
        <w:rPr>
          <w:rFonts w:ascii="Arial" w:hAnsi="Arial" w:cs="Arial"/>
        </w:rPr>
        <w:t>the shared vision of the ASEAN for a region of enduring</w:t>
      </w:r>
      <w:r w:rsidR="00EE27FD" w:rsidRPr="00942AB2">
        <w:rPr>
          <w:rFonts w:ascii="Arial" w:hAnsi="Arial" w:cs="Arial"/>
        </w:rPr>
        <w:t xml:space="preserve">, </w:t>
      </w:r>
      <w:r w:rsidR="00AE2CC7" w:rsidRPr="00942AB2">
        <w:rPr>
          <w:rFonts w:ascii="Arial" w:hAnsi="Arial" w:cs="Arial"/>
        </w:rPr>
        <w:t>peace,</w:t>
      </w:r>
      <w:r w:rsidR="00EE27FD" w:rsidRPr="00942AB2">
        <w:rPr>
          <w:rFonts w:ascii="Arial" w:hAnsi="Arial" w:cs="Arial"/>
        </w:rPr>
        <w:t xml:space="preserve"> security,</w:t>
      </w:r>
      <w:r w:rsidR="00AE2CC7" w:rsidRPr="00942AB2">
        <w:rPr>
          <w:rFonts w:ascii="Arial" w:hAnsi="Arial" w:cs="Arial"/>
        </w:rPr>
        <w:t xml:space="preserve"> stability, democracy and prosperity, by promoting political development through closer cooperation amongst the respective le</w:t>
      </w:r>
      <w:r w:rsidR="00EE27FD" w:rsidRPr="00942AB2">
        <w:rPr>
          <w:rFonts w:ascii="Arial" w:hAnsi="Arial" w:cs="Arial"/>
        </w:rPr>
        <w:t>gislatures</w:t>
      </w:r>
      <w:r w:rsidR="00D03B9B" w:rsidRPr="00942AB2">
        <w:rPr>
          <w:rFonts w:ascii="Arial" w:hAnsi="Arial" w:cs="Arial"/>
        </w:rPr>
        <w:t xml:space="preserve"> and parliamentarians; and</w:t>
      </w:r>
    </w:p>
    <w:p w:rsidR="00EE27FD" w:rsidRPr="00942AB2" w:rsidRDefault="00EE27FD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EE27FD" w:rsidRPr="00942AB2" w:rsidRDefault="00E86A73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42AB2">
        <w:rPr>
          <w:rFonts w:ascii="Arial" w:hAnsi="Arial" w:cs="Arial"/>
          <w:b/>
          <w:i/>
        </w:rPr>
        <w:t>T</w:t>
      </w:r>
      <w:r w:rsidR="00EE27FD" w:rsidRPr="00942AB2">
        <w:rPr>
          <w:rFonts w:ascii="Arial" w:hAnsi="Arial" w:cs="Arial"/>
          <w:b/>
          <w:i/>
        </w:rPr>
        <w:t>ask</w:t>
      </w:r>
      <w:r w:rsidR="00EE27FD" w:rsidRPr="00942AB2">
        <w:rPr>
          <w:rFonts w:ascii="Arial" w:hAnsi="Arial" w:cs="Arial"/>
        </w:rPr>
        <w:t xml:space="preserve"> AIPA secretariat to be actively involved to enhance public awareness of AIPA, its purposes and its efforts to support in ASEAN Community Building.</w:t>
      </w: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D03B9B" w:rsidRPr="00942AB2" w:rsidRDefault="00D03B9B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</w:p>
    <w:p w:rsidR="00AE2CC7" w:rsidRPr="00942AB2" w:rsidRDefault="00AE2CC7" w:rsidP="00AE2C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u w:val="single"/>
        </w:rPr>
      </w:pPr>
      <w:r w:rsidRPr="00942AB2">
        <w:rPr>
          <w:rFonts w:ascii="Arial" w:hAnsi="Arial" w:cs="Arial"/>
        </w:rPr>
        <w:t xml:space="preserve">Adopted on the </w:t>
      </w:r>
      <w:r w:rsidR="00D03B9B" w:rsidRPr="00942AB2">
        <w:rPr>
          <w:rFonts w:ascii="Arial" w:hAnsi="Arial" w:cs="Arial"/>
        </w:rPr>
        <w:t xml:space="preserve">22nd </w:t>
      </w:r>
      <w:r w:rsidRPr="00942AB2">
        <w:rPr>
          <w:rFonts w:ascii="Arial" w:hAnsi="Arial" w:cs="Arial"/>
        </w:rPr>
        <w:t xml:space="preserve">day of </w:t>
      </w:r>
      <w:r w:rsidR="00D03B9B" w:rsidRPr="00942AB2">
        <w:rPr>
          <w:rFonts w:ascii="Arial" w:hAnsi="Arial" w:cs="Arial"/>
        </w:rPr>
        <w:t>September</w:t>
      </w:r>
      <w:r w:rsidRPr="00942AB2">
        <w:rPr>
          <w:rFonts w:ascii="Arial" w:hAnsi="Arial" w:cs="Arial"/>
        </w:rPr>
        <w:t xml:space="preserve"> 2013 during the 34</w:t>
      </w:r>
      <w:r w:rsidRPr="00942AB2">
        <w:rPr>
          <w:rFonts w:ascii="Arial" w:hAnsi="Arial" w:cs="Arial"/>
          <w:vertAlign w:val="superscript"/>
        </w:rPr>
        <w:t>th</w:t>
      </w:r>
      <w:r w:rsidRPr="00942AB2">
        <w:rPr>
          <w:rFonts w:ascii="Arial" w:hAnsi="Arial" w:cs="Arial"/>
        </w:rPr>
        <w:t xml:space="preserve"> AIPA General Assembly in Bandar Seri Begawan, Brunei Darussalam.</w:t>
      </w:r>
    </w:p>
    <w:p w:rsidR="00AE2CC7" w:rsidRPr="00942AB2" w:rsidRDefault="00AE2CC7" w:rsidP="00AE2CC7">
      <w:pPr>
        <w:spacing w:line="276" w:lineRule="auto"/>
        <w:rPr>
          <w:rFonts w:ascii="Arial" w:hAnsi="Arial" w:cs="Arial"/>
        </w:rPr>
      </w:pPr>
    </w:p>
    <w:p w:rsidR="000725DA" w:rsidRPr="00942AB2" w:rsidRDefault="000725DA">
      <w:pPr>
        <w:rPr>
          <w:rFonts w:ascii="Arial" w:hAnsi="Arial" w:cs="Arial"/>
        </w:rPr>
      </w:pPr>
    </w:p>
    <w:p w:rsidR="00942AB2" w:rsidRPr="00942AB2" w:rsidRDefault="00942AB2">
      <w:pPr>
        <w:rPr>
          <w:rFonts w:ascii="Arial" w:hAnsi="Arial" w:cs="Arial"/>
        </w:rPr>
      </w:pPr>
    </w:p>
    <w:sectPr w:rsidR="00942AB2" w:rsidRPr="00942AB2" w:rsidSect="00B91BB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B0" w:rsidRDefault="00EE1B8A">
      <w:r>
        <w:separator/>
      </w:r>
    </w:p>
  </w:endnote>
  <w:endnote w:type="continuationSeparator" w:id="0">
    <w:p w:rsidR="00B111B0" w:rsidRDefault="00EE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88" w:rsidRDefault="00A66E82" w:rsidP="00B35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C88" w:rsidRDefault="00037A94" w:rsidP="00591C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88" w:rsidRDefault="00A66E82" w:rsidP="00B35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A94">
      <w:rPr>
        <w:rStyle w:val="PageNumber"/>
        <w:noProof/>
      </w:rPr>
      <w:t>1</w:t>
    </w:r>
    <w:r>
      <w:rPr>
        <w:rStyle w:val="PageNumber"/>
      </w:rPr>
      <w:fldChar w:fldCharType="end"/>
    </w:r>
  </w:p>
  <w:p w:rsidR="00591C88" w:rsidRPr="00591C88" w:rsidRDefault="00770FE9" w:rsidP="00591C88">
    <w:pPr>
      <w:pStyle w:val="Footer"/>
      <w:ind w:right="360"/>
      <w:jc w:val="right"/>
      <w:rPr>
        <w:rFonts w:ascii="Tahoma" w:hAnsi="Tahoma"/>
        <w:color w:val="808080" w:themeColor="background1" w:themeShade="80"/>
        <w:sz w:val="22"/>
        <w:szCs w:val="22"/>
      </w:rPr>
    </w:pPr>
    <w:r>
      <w:rPr>
        <w:rFonts w:ascii="Tahoma" w:hAnsi="Tahoma"/>
        <w:color w:val="808080" w:themeColor="background1" w:themeShade="80"/>
        <w:sz w:val="22"/>
        <w:szCs w:val="22"/>
      </w:rPr>
      <w:t>THE 34</w:t>
    </w:r>
    <w:r w:rsidRPr="00770FE9">
      <w:rPr>
        <w:rFonts w:ascii="Tahoma" w:hAnsi="Tahoma"/>
        <w:color w:val="808080" w:themeColor="background1" w:themeShade="80"/>
        <w:sz w:val="22"/>
        <w:szCs w:val="22"/>
        <w:vertAlign w:val="superscript"/>
      </w:rPr>
      <w:t>TH</w:t>
    </w:r>
    <w:r>
      <w:rPr>
        <w:rFonts w:ascii="Tahoma" w:hAnsi="Tahoma"/>
        <w:color w:val="808080" w:themeColor="background1" w:themeShade="80"/>
        <w:sz w:val="22"/>
        <w:szCs w:val="22"/>
      </w:rPr>
      <w:t xml:space="preserve"> AIPA GENERAL ASSEMBLY | 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B0" w:rsidRDefault="00EE1B8A">
      <w:r>
        <w:separator/>
      </w:r>
    </w:p>
  </w:footnote>
  <w:footnote w:type="continuationSeparator" w:id="0">
    <w:p w:rsidR="00B111B0" w:rsidRDefault="00EE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7"/>
    <w:rsid w:val="00037A94"/>
    <w:rsid w:val="000725DA"/>
    <w:rsid w:val="00084E98"/>
    <w:rsid w:val="000A1DBD"/>
    <w:rsid w:val="000A73A7"/>
    <w:rsid w:val="000F6367"/>
    <w:rsid w:val="001B3815"/>
    <w:rsid w:val="00251C45"/>
    <w:rsid w:val="00363D84"/>
    <w:rsid w:val="00472E4C"/>
    <w:rsid w:val="00640109"/>
    <w:rsid w:val="00665521"/>
    <w:rsid w:val="0070032A"/>
    <w:rsid w:val="00770FE9"/>
    <w:rsid w:val="007A224B"/>
    <w:rsid w:val="008035ED"/>
    <w:rsid w:val="0080421F"/>
    <w:rsid w:val="00942AB2"/>
    <w:rsid w:val="00994ECE"/>
    <w:rsid w:val="00A26487"/>
    <w:rsid w:val="00A66E82"/>
    <w:rsid w:val="00A9382A"/>
    <w:rsid w:val="00AE2CC7"/>
    <w:rsid w:val="00B111B0"/>
    <w:rsid w:val="00B9249C"/>
    <w:rsid w:val="00BD6379"/>
    <w:rsid w:val="00D03B9B"/>
    <w:rsid w:val="00D34E93"/>
    <w:rsid w:val="00E65564"/>
    <w:rsid w:val="00E86A73"/>
    <w:rsid w:val="00E9626D"/>
    <w:rsid w:val="00EE1B8A"/>
    <w:rsid w:val="00EE27FD"/>
    <w:rsid w:val="00F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2C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CC7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E2CC7"/>
  </w:style>
  <w:style w:type="paragraph" w:styleId="BalloonText">
    <w:name w:val="Balloon Text"/>
    <w:basedOn w:val="Normal"/>
    <w:link w:val="BalloonTextChar"/>
    <w:uiPriority w:val="99"/>
    <w:semiHidden/>
    <w:unhideWhenUsed/>
    <w:rsid w:val="00AE2C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C7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3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B9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C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2C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CC7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E2CC7"/>
  </w:style>
  <w:style w:type="paragraph" w:styleId="BalloonText">
    <w:name w:val="Balloon Text"/>
    <w:basedOn w:val="Normal"/>
    <w:link w:val="BalloonTextChar"/>
    <w:uiPriority w:val="99"/>
    <w:semiHidden/>
    <w:unhideWhenUsed/>
    <w:rsid w:val="00AE2C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C7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3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B9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9E87A-C2E9-4123-BA9D-42017C65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Bangor University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Zaidah Petra</dc:creator>
  <cp:lastModifiedBy>User</cp:lastModifiedBy>
  <cp:revision>2</cp:revision>
  <cp:lastPrinted>2013-09-20T13:51:00Z</cp:lastPrinted>
  <dcterms:created xsi:type="dcterms:W3CDTF">2013-09-22T06:47:00Z</dcterms:created>
  <dcterms:modified xsi:type="dcterms:W3CDTF">2013-09-22T06:47:00Z</dcterms:modified>
</cp:coreProperties>
</file>